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4B" w:rsidRPr="002F112C" w:rsidRDefault="001B794B" w:rsidP="001B794B">
      <w:pPr>
        <w:jc w:val="center"/>
        <w:rPr>
          <w:rFonts w:ascii="黑体" w:eastAsia="黑体" w:hAnsi="黑体"/>
          <w:sz w:val="44"/>
          <w:szCs w:val="44"/>
        </w:rPr>
      </w:pPr>
      <w:r w:rsidRPr="002F112C">
        <w:rPr>
          <w:rFonts w:ascii="黑体" w:eastAsia="黑体" w:hAnsi="黑体" w:hint="eastAsia"/>
          <w:sz w:val="44"/>
          <w:szCs w:val="44"/>
        </w:rPr>
        <w:t>抚松县人民法院</w:t>
      </w:r>
    </w:p>
    <w:p w:rsidR="001B794B" w:rsidRPr="002F112C" w:rsidRDefault="001B794B" w:rsidP="001B794B">
      <w:pPr>
        <w:jc w:val="center"/>
        <w:rPr>
          <w:rFonts w:ascii="黑体" w:eastAsia="黑体" w:hAnsi="黑体"/>
          <w:sz w:val="44"/>
          <w:szCs w:val="44"/>
        </w:rPr>
      </w:pPr>
      <w:r w:rsidRPr="002F112C">
        <w:rPr>
          <w:rFonts w:ascii="黑体" w:eastAsia="黑体" w:hAnsi="黑体" w:hint="eastAsia"/>
          <w:sz w:val="44"/>
          <w:szCs w:val="44"/>
        </w:rPr>
        <w:t>2016年</w:t>
      </w:r>
      <w:r>
        <w:rPr>
          <w:rFonts w:ascii="黑体" w:eastAsia="黑体" w:hAnsi="黑体" w:hint="eastAsia"/>
          <w:sz w:val="44"/>
          <w:szCs w:val="44"/>
        </w:rPr>
        <w:t>上半年</w:t>
      </w:r>
      <w:r w:rsidRPr="002F112C">
        <w:rPr>
          <w:rFonts w:ascii="黑体" w:eastAsia="黑体" w:hAnsi="黑体" w:hint="eastAsia"/>
          <w:sz w:val="44"/>
          <w:szCs w:val="44"/>
        </w:rPr>
        <w:t>审判运行态势分析报告</w:t>
      </w:r>
    </w:p>
    <w:p w:rsidR="001B794B" w:rsidRPr="002F112C" w:rsidRDefault="001B794B" w:rsidP="001B794B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1B794B" w:rsidRPr="004F744E" w:rsidRDefault="001B794B" w:rsidP="001B794B">
      <w:pPr>
        <w:rPr>
          <w:rFonts w:ascii="仿宋" w:eastAsia="仿宋" w:hAnsi="仿宋"/>
          <w:b/>
          <w:sz w:val="30"/>
          <w:szCs w:val="30"/>
        </w:rPr>
      </w:pPr>
      <w:r w:rsidRPr="002F112C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4F744E">
        <w:rPr>
          <w:rFonts w:ascii="仿宋" w:eastAsia="仿宋" w:hAnsi="仿宋" w:hint="eastAsia"/>
          <w:b/>
          <w:sz w:val="30"/>
          <w:szCs w:val="30"/>
        </w:rPr>
        <w:t xml:space="preserve"> 一、收结案情况</w:t>
      </w:r>
    </w:p>
    <w:p w:rsidR="001B794B" w:rsidRPr="004F744E" w:rsidRDefault="001B794B" w:rsidP="001B794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F744E">
        <w:rPr>
          <w:rFonts w:ascii="仿宋" w:eastAsia="仿宋" w:hAnsi="仿宋" w:hint="eastAsia"/>
          <w:sz w:val="30"/>
          <w:szCs w:val="30"/>
        </w:rPr>
        <w:t>2016年上半年，全院共受理各类案件3250件。其中，旧存947件;新收2303件，同比下降2.74%；审执结2040件，同比上升26.63%；未结1210件，同比下降10.90%；结案率62.77%,同比上升8.51%，详见图1.</w:t>
      </w:r>
    </w:p>
    <w:p w:rsidR="001B794B" w:rsidRPr="002F112C" w:rsidRDefault="001B794B" w:rsidP="001B794B">
      <w:pPr>
        <w:jc w:val="center"/>
        <w:rPr>
          <w:rFonts w:ascii="仿宋_GB2312" w:eastAsia="仿宋_GB2312"/>
          <w:sz w:val="32"/>
          <w:szCs w:val="32"/>
        </w:rPr>
      </w:pPr>
      <w:r w:rsidRPr="003C3340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40579" cy="3321101"/>
            <wp:effectExtent l="19050" t="0" r="17221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794B" w:rsidRPr="004F744E" w:rsidRDefault="001B794B" w:rsidP="001B794B">
      <w:pPr>
        <w:ind w:firstLineChars="196" w:firstLine="590"/>
        <w:jc w:val="left"/>
        <w:rPr>
          <w:rFonts w:ascii="仿宋" w:eastAsia="仿宋" w:hAnsi="仿宋"/>
          <w:sz w:val="30"/>
          <w:szCs w:val="30"/>
        </w:rPr>
      </w:pPr>
      <w:r w:rsidRPr="004F744E">
        <w:rPr>
          <w:rFonts w:ascii="仿宋" w:eastAsia="仿宋" w:hAnsi="仿宋" w:hint="eastAsia"/>
          <w:b/>
          <w:sz w:val="30"/>
          <w:szCs w:val="30"/>
        </w:rPr>
        <w:t xml:space="preserve">刑事案件  </w:t>
      </w:r>
      <w:r w:rsidRPr="004F744E">
        <w:rPr>
          <w:rFonts w:ascii="仿宋" w:eastAsia="仿宋" w:hAnsi="仿宋" w:hint="eastAsia"/>
          <w:sz w:val="30"/>
          <w:szCs w:val="30"/>
        </w:rPr>
        <w:t>共受理166件，同比增加66.00%，其中，旧存65件，新收101件，审结123件，未结43件，结案率为74.10%，同比下降3.90%，详见图2。</w:t>
      </w:r>
    </w:p>
    <w:p w:rsidR="001B794B" w:rsidRDefault="001B794B" w:rsidP="001B794B">
      <w:pPr>
        <w:jc w:val="center"/>
        <w:rPr>
          <w:rFonts w:ascii="仿宋_GB2312" w:eastAsia="仿宋_GB2312"/>
          <w:noProof/>
          <w:sz w:val="32"/>
          <w:szCs w:val="32"/>
        </w:rPr>
      </w:pPr>
      <w:r w:rsidRPr="000559BC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7155" cy="3599079"/>
            <wp:effectExtent l="19050" t="0" r="18745" b="1371"/>
            <wp:docPr id="1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794B" w:rsidRPr="004F744E" w:rsidRDefault="001B794B" w:rsidP="001B794B">
      <w:pPr>
        <w:ind w:firstLine="645"/>
        <w:rPr>
          <w:rFonts w:ascii="仿宋" w:eastAsia="仿宋" w:hAnsi="仿宋"/>
          <w:sz w:val="30"/>
          <w:szCs w:val="30"/>
        </w:rPr>
      </w:pPr>
      <w:r w:rsidRPr="004F744E">
        <w:rPr>
          <w:rFonts w:ascii="仿宋" w:eastAsia="仿宋" w:hAnsi="仿宋" w:hint="eastAsia"/>
          <w:b/>
          <w:sz w:val="30"/>
          <w:szCs w:val="30"/>
        </w:rPr>
        <w:t xml:space="preserve">民事案件  </w:t>
      </w:r>
      <w:r w:rsidRPr="004F744E">
        <w:rPr>
          <w:rFonts w:ascii="仿宋" w:eastAsia="仿宋" w:hAnsi="仿宋" w:hint="eastAsia"/>
          <w:sz w:val="30"/>
          <w:szCs w:val="30"/>
        </w:rPr>
        <w:t>共受理1562件，同比减少1.88%，其中，旧存262件，新收1300件，审结1168件，未结394件，结案率为74.78%，同比上升4.49%，详见图3.</w:t>
      </w:r>
    </w:p>
    <w:p w:rsidR="001B794B" w:rsidRDefault="001B794B" w:rsidP="001B794B">
      <w:pPr>
        <w:jc w:val="center"/>
        <w:rPr>
          <w:rFonts w:ascii="仿宋_GB2312" w:eastAsia="仿宋_GB2312"/>
          <w:noProof/>
          <w:sz w:val="32"/>
          <w:szCs w:val="32"/>
        </w:rPr>
      </w:pPr>
      <w:r w:rsidRPr="00A170EA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035754" cy="3386938"/>
            <wp:effectExtent l="19050" t="0" r="12496" b="3962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794B" w:rsidRPr="004F744E" w:rsidRDefault="001B794B" w:rsidP="001B794B">
      <w:pPr>
        <w:ind w:firstLine="645"/>
        <w:rPr>
          <w:rFonts w:ascii="仿宋" w:eastAsia="仿宋" w:hAnsi="仿宋"/>
          <w:sz w:val="30"/>
          <w:szCs w:val="30"/>
        </w:rPr>
      </w:pPr>
      <w:r w:rsidRPr="004F744E">
        <w:rPr>
          <w:rFonts w:ascii="仿宋" w:eastAsia="仿宋" w:hAnsi="仿宋" w:hint="eastAsia"/>
          <w:b/>
          <w:sz w:val="30"/>
          <w:szCs w:val="30"/>
        </w:rPr>
        <w:t xml:space="preserve">行政案件  </w:t>
      </w:r>
      <w:r w:rsidRPr="004F744E">
        <w:rPr>
          <w:rFonts w:ascii="仿宋" w:eastAsia="仿宋" w:hAnsi="仿宋" w:hint="eastAsia"/>
          <w:sz w:val="30"/>
          <w:szCs w:val="30"/>
        </w:rPr>
        <w:t>共受理52件，同比增加52.94%，其中，旧存3</w:t>
      </w:r>
      <w:r w:rsidRPr="004F744E">
        <w:rPr>
          <w:rFonts w:ascii="仿宋" w:eastAsia="仿宋" w:hAnsi="仿宋" w:hint="eastAsia"/>
          <w:sz w:val="30"/>
          <w:szCs w:val="30"/>
        </w:rPr>
        <w:lastRenderedPageBreak/>
        <w:t>件，新收49件，审结34件，未结18件，结案率为65.38%,同比下降14.03%，详见图4.</w:t>
      </w:r>
    </w:p>
    <w:p w:rsidR="001B794B" w:rsidRDefault="001B794B" w:rsidP="001B794B">
      <w:pPr>
        <w:jc w:val="center"/>
        <w:rPr>
          <w:rFonts w:ascii="仿宋_GB2312" w:eastAsia="仿宋_GB2312"/>
          <w:noProof/>
          <w:szCs w:val="21"/>
        </w:rPr>
      </w:pPr>
      <w:r w:rsidRPr="0012179B">
        <w:rPr>
          <w:rFonts w:ascii="仿宋_GB2312" w:eastAsia="仿宋_GB2312"/>
          <w:noProof/>
          <w:szCs w:val="21"/>
        </w:rPr>
        <w:drawing>
          <wp:inline distT="0" distB="0" distL="0" distR="0">
            <wp:extent cx="5193792" cy="3196742"/>
            <wp:effectExtent l="19050" t="0" r="25908" b="3658"/>
            <wp:docPr id="12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794B" w:rsidRPr="004F744E" w:rsidRDefault="001B794B" w:rsidP="001B794B">
      <w:pPr>
        <w:ind w:firstLine="645"/>
        <w:rPr>
          <w:rFonts w:ascii="仿宋" w:eastAsia="仿宋" w:hAnsi="仿宋"/>
          <w:sz w:val="30"/>
          <w:szCs w:val="30"/>
        </w:rPr>
      </w:pPr>
      <w:r w:rsidRPr="004F744E">
        <w:rPr>
          <w:rFonts w:ascii="仿宋" w:eastAsia="仿宋" w:hAnsi="仿宋" w:hint="eastAsia"/>
          <w:b/>
          <w:sz w:val="30"/>
          <w:szCs w:val="30"/>
        </w:rPr>
        <w:t xml:space="preserve">执行案件  </w:t>
      </w:r>
      <w:r w:rsidRPr="004F744E">
        <w:rPr>
          <w:rFonts w:ascii="仿宋" w:eastAsia="仿宋" w:hAnsi="仿宋" w:hint="eastAsia"/>
          <w:sz w:val="30"/>
          <w:szCs w:val="30"/>
        </w:rPr>
        <w:t>共受理1459，同比增加18.71%，其中，旧存614件，新收845件，审结707件，未结752件，结案率为4</w:t>
      </w:r>
      <w:r w:rsidR="00DE7478">
        <w:rPr>
          <w:rFonts w:ascii="仿宋" w:eastAsia="仿宋" w:hAnsi="仿宋" w:hint="eastAsia"/>
          <w:sz w:val="30"/>
          <w:szCs w:val="30"/>
        </w:rPr>
        <w:t>8</w:t>
      </w:r>
      <w:r w:rsidRPr="004F744E">
        <w:rPr>
          <w:rFonts w:ascii="仿宋" w:eastAsia="仿宋" w:hAnsi="仿宋" w:hint="eastAsia"/>
          <w:sz w:val="30"/>
          <w:szCs w:val="30"/>
        </w:rPr>
        <w:t>.46%，同比上升17.87%，详见图5.</w:t>
      </w:r>
    </w:p>
    <w:p w:rsidR="001B794B" w:rsidRDefault="001B794B" w:rsidP="001B794B">
      <w:pPr>
        <w:jc w:val="center"/>
        <w:rPr>
          <w:rFonts w:ascii="仿宋_GB2312" w:eastAsia="仿宋_GB2312"/>
          <w:noProof/>
          <w:szCs w:val="21"/>
        </w:rPr>
      </w:pPr>
      <w:r w:rsidRPr="007D35EE">
        <w:rPr>
          <w:rFonts w:ascii="仿宋_GB2312" w:eastAsia="仿宋_GB2312"/>
          <w:noProof/>
          <w:szCs w:val="21"/>
        </w:rPr>
        <w:drawing>
          <wp:inline distT="0" distB="0" distL="0" distR="0">
            <wp:extent cx="5182057" cy="3379622"/>
            <wp:effectExtent l="19050" t="0" r="18593" b="0"/>
            <wp:docPr id="13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794B" w:rsidRPr="004F744E" w:rsidRDefault="001B794B" w:rsidP="001B794B">
      <w:pPr>
        <w:ind w:firstLine="645"/>
        <w:rPr>
          <w:rFonts w:ascii="仿宋" w:eastAsia="仿宋" w:hAnsi="仿宋"/>
          <w:sz w:val="30"/>
          <w:szCs w:val="30"/>
        </w:rPr>
      </w:pPr>
      <w:r w:rsidRPr="004F744E">
        <w:rPr>
          <w:rFonts w:ascii="仿宋" w:eastAsia="仿宋" w:hAnsi="仿宋" w:hint="eastAsia"/>
          <w:b/>
          <w:sz w:val="30"/>
          <w:szCs w:val="30"/>
        </w:rPr>
        <w:lastRenderedPageBreak/>
        <w:t xml:space="preserve">审查监督  </w:t>
      </w:r>
      <w:r w:rsidRPr="004F744E">
        <w:rPr>
          <w:rFonts w:ascii="仿宋" w:eastAsia="仿宋" w:hAnsi="仿宋" w:hint="eastAsia"/>
          <w:sz w:val="30"/>
          <w:szCs w:val="30"/>
        </w:rPr>
        <w:t>共受理11件，同比减少15.38%，其中，旧存3件，新收8件，审结8件，未结3件，结案率为72.73%，同比下降4.19%，详见图6.</w:t>
      </w:r>
    </w:p>
    <w:p w:rsidR="001B794B" w:rsidRDefault="001B794B" w:rsidP="001B794B">
      <w:pPr>
        <w:jc w:val="center"/>
        <w:rPr>
          <w:rFonts w:ascii="仿宋_GB2312" w:eastAsia="仿宋_GB2312"/>
          <w:noProof/>
          <w:sz w:val="28"/>
          <w:szCs w:val="28"/>
        </w:rPr>
      </w:pPr>
      <w:r w:rsidRPr="00A54F2D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116220" cy="3211372"/>
            <wp:effectExtent l="19050" t="0" r="27280" b="8078"/>
            <wp:docPr id="14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794B" w:rsidRPr="004F744E" w:rsidRDefault="001B794B" w:rsidP="001B794B">
      <w:pPr>
        <w:ind w:firstLine="645"/>
        <w:rPr>
          <w:rFonts w:ascii="仿宋" w:eastAsia="仿宋" w:hAnsi="仿宋"/>
          <w:sz w:val="30"/>
          <w:szCs w:val="30"/>
        </w:rPr>
      </w:pPr>
      <w:r w:rsidRPr="004F744E">
        <w:rPr>
          <w:rFonts w:ascii="仿宋" w:eastAsia="仿宋" w:hAnsi="仿宋" w:hint="eastAsia"/>
          <w:b/>
          <w:sz w:val="30"/>
          <w:szCs w:val="30"/>
        </w:rPr>
        <w:t>各类案件所占比例</w:t>
      </w:r>
      <w:r w:rsidRPr="004F744E">
        <w:rPr>
          <w:rFonts w:ascii="仿宋" w:eastAsia="仿宋" w:hAnsi="仿宋" w:hint="eastAsia"/>
          <w:sz w:val="30"/>
          <w:szCs w:val="30"/>
        </w:rPr>
        <w:t xml:space="preserve"> 刑事案件占总数的5.11%，民事案件占总数的48.06%，行政案件占总数的1.60%，执行案件占总数的44.89%，审查监督案件占总数的0.34%，详见图7.</w:t>
      </w:r>
    </w:p>
    <w:p w:rsidR="001B794B" w:rsidRDefault="001B794B" w:rsidP="001B794B">
      <w:pPr>
        <w:jc w:val="center"/>
        <w:rPr>
          <w:rFonts w:ascii="仿宋_GB2312" w:eastAsia="仿宋_GB2312"/>
          <w:noProof/>
          <w:sz w:val="32"/>
          <w:szCs w:val="32"/>
        </w:rPr>
      </w:pPr>
      <w:r w:rsidRPr="00523F6A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669993" cy="2918765"/>
            <wp:effectExtent l="19050" t="0" r="16307" b="0"/>
            <wp:docPr id="15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794B" w:rsidRPr="004F744E" w:rsidRDefault="001B794B" w:rsidP="001B794B">
      <w:pPr>
        <w:ind w:firstLine="630"/>
        <w:rPr>
          <w:rFonts w:ascii="仿宋" w:eastAsia="仿宋" w:hAnsi="仿宋"/>
          <w:b/>
          <w:sz w:val="30"/>
          <w:szCs w:val="30"/>
        </w:rPr>
      </w:pPr>
      <w:r w:rsidRPr="004F744E">
        <w:rPr>
          <w:rFonts w:ascii="仿宋" w:eastAsia="仿宋" w:hAnsi="仿宋" w:hint="eastAsia"/>
          <w:b/>
          <w:sz w:val="30"/>
          <w:szCs w:val="30"/>
        </w:rPr>
        <w:lastRenderedPageBreak/>
        <w:t>二、审判质效情况</w:t>
      </w:r>
    </w:p>
    <w:p w:rsidR="001B794B" w:rsidRDefault="001B794B" w:rsidP="001B794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1.上诉率</w:t>
      </w:r>
    </w:p>
    <w:p w:rsidR="001B794B" w:rsidRDefault="001B794B" w:rsidP="001B794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2016年上半年，全院上诉案件</w:t>
      </w:r>
      <w:r w:rsidR="001E7954">
        <w:rPr>
          <w:rFonts w:ascii="仿宋" w:eastAsia="仿宋" w:hAnsi="仿宋" w:hint="eastAsia"/>
          <w:sz w:val="30"/>
          <w:szCs w:val="30"/>
        </w:rPr>
        <w:t>67</w:t>
      </w:r>
      <w:r>
        <w:rPr>
          <w:rFonts w:ascii="仿宋" w:eastAsia="仿宋" w:hAnsi="仿宋" w:hint="eastAsia"/>
          <w:sz w:val="30"/>
          <w:szCs w:val="30"/>
        </w:rPr>
        <w:t>件，同比上升</w:t>
      </w:r>
      <w:r w:rsidR="001E7954">
        <w:rPr>
          <w:rFonts w:ascii="仿宋" w:eastAsia="仿宋" w:hAnsi="仿宋" w:hint="eastAsia"/>
          <w:sz w:val="30"/>
          <w:szCs w:val="30"/>
        </w:rPr>
        <w:t>179.17</w:t>
      </w:r>
      <w:r>
        <w:rPr>
          <w:rFonts w:ascii="仿宋" w:eastAsia="仿宋" w:hAnsi="仿宋" w:hint="eastAsia"/>
          <w:sz w:val="30"/>
          <w:szCs w:val="30"/>
        </w:rPr>
        <w:t>%，上诉率为</w:t>
      </w:r>
      <w:r w:rsidR="001E7954">
        <w:rPr>
          <w:rFonts w:ascii="仿宋" w:eastAsia="仿宋" w:hAnsi="仿宋" w:hint="eastAsia"/>
          <w:sz w:val="30"/>
          <w:szCs w:val="30"/>
        </w:rPr>
        <w:t>12.69</w:t>
      </w:r>
      <w:r>
        <w:rPr>
          <w:rFonts w:ascii="仿宋" w:eastAsia="仿宋" w:hAnsi="仿宋" w:hint="eastAsia"/>
          <w:sz w:val="30"/>
          <w:szCs w:val="30"/>
        </w:rPr>
        <w:t>%,同比</w:t>
      </w:r>
      <w:r w:rsidR="001E7954">
        <w:rPr>
          <w:rFonts w:ascii="仿宋" w:eastAsia="仿宋" w:hAnsi="仿宋" w:hint="eastAsia"/>
          <w:sz w:val="30"/>
          <w:szCs w:val="30"/>
        </w:rPr>
        <w:t>上升6.49</w:t>
      </w:r>
      <w:r>
        <w:rPr>
          <w:rFonts w:ascii="仿宋" w:eastAsia="仿宋" w:hAnsi="仿宋" w:hint="eastAsia"/>
          <w:sz w:val="30"/>
          <w:szCs w:val="30"/>
        </w:rPr>
        <w:t>%。</w:t>
      </w:r>
    </w:p>
    <w:p w:rsidR="001B794B" w:rsidRDefault="001B794B" w:rsidP="001B794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2.发回重审率</w:t>
      </w:r>
    </w:p>
    <w:p w:rsidR="001B794B" w:rsidRDefault="001B794B" w:rsidP="001B794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2016年上半年，全院发回重审案件数为1</w:t>
      </w:r>
      <w:r w:rsidR="001E7954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件，同比上升</w:t>
      </w:r>
      <w:r w:rsidR="001E7954">
        <w:rPr>
          <w:rFonts w:ascii="仿宋" w:eastAsia="仿宋" w:hAnsi="仿宋" w:hint="eastAsia"/>
          <w:sz w:val="30"/>
          <w:szCs w:val="30"/>
        </w:rPr>
        <w:t>114.29</w:t>
      </w:r>
      <w:r>
        <w:rPr>
          <w:rFonts w:ascii="仿宋" w:eastAsia="仿宋" w:hAnsi="仿宋" w:hint="eastAsia"/>
          <w:sz w:val="30"/>
          <w:szCs w:val="30"/>
        </w:rPr>
        <w:t>%，发回重审率为</w:t>
      </w:r>
      <w:r w:rsidR="001E7954">
        <w:rPr>
          <w:rFonts w:ascii="仿宋" w:eastAsia="仿宋" w:hAnsi="仿宋" w:hint="eastAsia"/>
          <w:sz w:val="30"/>
          <w:szCs w:val="30"/>
        </w:rPr>
        <w:t>2.84</w:t>
      </w:r>
      <w:r>
        <w:rPr>
          <w:rFonts w:ascii="仿宋" w:eastAsia="仿宋" w:hAnsi="仿宋" w:hint="eastAsia"/>
          <w:sz w:val="30"/>
          <w:szCs w:val="30"/>
        </w:rPr>
        <w:t>%,同比</w:t>
      </w:r>
      <w:r w:rsidR="001E7954">
        <w:rPr>
          <w:rFonts w:ascii="仿宋" w:eastAsia="仿宋" w:hAnsi="仿宋" w:hint="eastAsia"/>
          <w:sz w:val="30"/>
          <w:szCs w:val="30"/>
        </w:rPr>
        <w:t>上升1.03</w:t>
      </w:r>
      <w:r>
        <w:rPr>
          <w:rFonts w:ascii="仿宋" w:eastAsia="仿宋" w:hAnsi="仿宋" w:hint="eastAsia"/>
          <w:sz w:val="30"/>
          <w:szCs w:val="30"/>
        </w:rPr>
        <w:t>%。</w:t>
      </w:r>
    </w:p>
    <w:p w:rsidR="001B794B" w:rsidRDefault="001B794B" w:rsidP="001B794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3.改判率</w:t>
      </w:r>
    </w:p>
    <w:p w:rsidR="001B794B" w:rsidRDefault="001B794B" w:rsidP="001B794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2016年上半年，全院改判案件数为</w:t>
      </w:r>
      <w:r w:rsidR="001E7954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件，同比下降</w:t>
      </w:r>
      <w:r w:rsidR="001E7954">
        <w:rPr>
          <w:rFonts w:ascii="仿宋" w:eastAsia="仿宋" w:hAnsi="仿宋" w:hint="eastAsia"/>
          <w:sz w:val="30"/>
          <w:szCs w:val="30"/>
        </w:rPr>
        <w:t>57.14</w:t>
      </w:r>
      <w:r>
        <w:rPr>
          <w:rFonts w:ascii="仿宋" w:eastAsia="仿宋" w:hAnsi="仿宋" w:hint="eastAsia"/>
          <w:sz w:val="30"/>
          <w:szCs w:val="30"/>
        </w:rPr>
        <w:t>%，改判率为</w:t>
      </w:r>
      <w:r w:rsidR="001E7954">
        <w:rPr>
          <w:rFonts w:ascii="仿宋" w:eastAsia="仿宋" w:hAnsi="仿宋" w:hint="eastAsia"/>
          <w:sz w:val="30"/>
          <w:szCs w:val="30"/>
        </w:rPr>
        <w:t>0.57</w:t>
      </w:r>
      <w:r>
        <w:rPr>
          <w:rFonts w:ascii="仿宋" w:eastAsia="仿宋" w:hAnsi="仿宋" w:hint="eastAsia"/>
          <w:sz w:val="30"/>
          <w:szCs w:val="30"/>
        </w:rPr>
        <w:t>%，同比下降1.</w:t>
      </w:r>
      <w:r w:rsidR="001E7954">
        <w:rPr>
          <w:rFonts w:ascii="仿宋" w:eastAsia="仿宋" w:hAnsi="仿宋" w:hint="eastAsia"/>
          <w:sz w:val="30"/>
          <w:szCs w:val="30"/>
        </w:rPr>
        <w:t>74</w:t>
      </w:r>
      <w:r>
        <w:rPr>
          <w:rFonts w:ascii="仿宋" w:eastAsia="仿宋" w:hAnsi="仿宋" w:hint="eastAsia"/>
          <w:sz w:val="30"/>
          <w:szCs w:val="30"/>
        </w:rPr>
        <w:t>%。</w:t>
      </w:r>
    </w:p>
    <w:p w:rsidR="001B794B" w:rsidRDefault="001B794B" w:rsidP="001B794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4.民事一审案件调撤率</w:t>
      </w:r>
    </w:p>
    <w:p w:rsidR="001B794B" w:rsidRDefault="001B794B" w:rsidP="001B794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2016年上半年，全院共审结一审民事案件1168件，同比上升4.38%，判决406件，同比上升29.71%；撤诉349件，同比上升19.11%；调解340件，同比下降8.60%。判决率34.76%,同比上升6.79%；调解率29.11%,同比下降4.13%；撤诉率29.88%，同比上升2.98%。</w:t>
      </w:r>
    </w:p>
    <w:p w:rsidR="001B794B" w:rsidRDefault="001B794B" w:rsidP="001B794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5.小额诉讼案件适用率</w:t>
      </w:r>
    </w:p>
    <w:p w:rsidR="001B794B" w:rsidRDefault="001B794B" w:rsidP="001B794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2016年上半年全院应按小额诉讼程序立案案件325件，已按小额诉讼程序立案案件168件，未按小额诉讼程序立案案件157件，小额诉讼案件适用率51.69%；</w:t>
      </w:r>
    </w:p>
    <w:p w:rsidR="001B794B" w:rsidRDefault="001B794B" w:rsidP="001B794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6.裁判文书公开情况</w:t>
      </w:r>
    </w:p>
    <w:p w:rsidR="001B794B" w:rsidRDefault="001B794B" w:rsidP="001B794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截止2016年第二季度，全院2014年至2016年共审结各类</w:t>
      </w:r>
      <w:r>
        <w:rPr>
          <w:rFonts w:ascii="仿宋" w:eastAsia="仿宋" w:hAnsi="仿宋" w:hint="eastAsia"/>
          <w:sz w:val="30"/>
          <w:szCs w:val="30"/>
        </w:rPr>
        <w:lastRenderedPageBreak/>
        <w:t>案件896</w:t>
      </w:r>
      <w:r w:rsidR="009107A5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件，其中应上网裁判文书</w:t>
      </w:r>
      <w:r w:rsidR="009107A5">
        <w:rPr>
          <w:rFonts w:ascii="仿宋" w:eastAsia="仿宋" w:hAnsi="仿宋" w:hint="eastAsia"/>
          <w:sz w:val="30"/>
          <w:szCs w:val="30"/>
        </w:rPr>
        <w:t>5540</w:t>
      </w:r>
      <w:r>
        <w:rPr>
          <w:rFonts w:ascii="仿宋" w:eastAsia="仿宋" w:hAnsi="仿宋" w:hint="eastAsia"/>
          <w:sz w:val="30"/>
          <w:szCs w:val="30"/>
        </w:rPr>
        <w:t>件，已上网裁判文书5884件，文书上网率为</w:t>
      </w:r>
      <w:r w:rsidR="009107A5">
        <w:rPr>
          <w:rFonts w:ascii="仿宋" w:eastAsia="仿宋" w:hAnsi="仿宋" w:hint="eastAsia"/>
          <w:sz w:val="30"/>
          <w:szCs w:val="30"/>
        </w:rPr>
        <w:t>106.21</w:t>
      </w:r>
      <w:r>
        <w:rPr>
          <w:rFonts w:ascii="仿宋" w:eastAsia="仿宋" w:hAnsi="仿宋" w:hint="eastAsia"/>
          <w:sz w:val="30"/>
          <w:szCs w:val="30"/>
        </w:rPr>
        <w:t>% 。</w:t>
      </w:r>
    </w:p>
    <w:p w:rsidR="001B794B" w:rsidRPr="004F744E" w:rsidRDefault="001B794B" w:rsidP="001B794B">
      <w:pPr>
        <w:ind w:firstLineChars="196" w:firstLine="590"/>
        <w:rPr>
          <w:rFonts w:ascii="仿宋" w:eastAsia="仿宋" w:hAnsi="仿宋"/>
          <w:b/>
          <w:sz w:val="30"/>
          <w:szCs w:val="30"/>
        </w:rPr>
      </w:pPr>
      <w:r w:rsidRPr="004F744E">
        <w:rPr>
          <w:rFonts w:ascii="仿宋" w:eastAsia="仿宋" w:hAnsi="仿宋" w:hint="eastAsia"/>
          <w:b/>
          <w:sz w:val="30"/>
          <w:szCs w:val="30"/>
        </w:rPr>
        <w:t>三、审判工作态势分析</w:t>
      </w:r>
    </w:p>
    <w:p w:rsidR="001B794B" w:rsidRPr="004F744E" w:rsidRDefault="001B794B" w:rsidP="001B794B">
      <w:pPr>
        <w:rPr>
          <w:rFonts w:ascii="仿宋" w:eastAsia="仿宋" w:hAnsi="仿宋"/>
          <w:sz w:val="30"/>
          <w:szCs w:val="30"/>
        </w:rPr>
      </w:pPr>
      <w:r w:rsidRPr="004F744E">
        <w:rPr>
          <w:rFonts w:ascii="仿宋" w:eastAsia="仿宋" w:hAnsi="仿宋" w:hint="eastAsia"/>
          <w:sz w:val="30"/>
          <w:szCs w:val="30"/>
        </w:rPr>
        <w:t xml:space="preserve">   </w:t>
      </w:r>
      <w:r w:rsidRPr="004F744E">
        <w:rPr>
          <w:rFonts w:ascii="仿宋" w:eastAsia="仿宋" w:hAnsi="仿宋" w:hint="eastAsia"/>
          <w:b/>
          <w:sz w:val="30"/>
          <w:szCs w:val="30"/>
        </w:rPr>
        <w:t xml:space="preserve"> 1.全院受理案件数增加，法官办案压力增大。</w:t>
      </w:r>
      <w:r w:rsidRPr="001B794B">
        <w:rPr>
          <w:rFonts w:ascii="仿宋" w:eastAsia="仿宋" w:hAnsi="仿宋" w:hint="eastAsia"/>
          <w:sz w:val="30"/>
          <w:szCs w:val="30"/>
        </w:rPr>
        <w:t>2016</w:t>
      </w:r>
      <w:r w:rsidRPr="004F744E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上半年</w:t>
      </w:r>
      <w:r w:rsidRPr="004F744E">
        <w:rPr>
          <w:rFonts w:ascii="仿宋" w:eastAsia="仿宋" w:hAnsi="仿宋" w:hint="eastAsia"/>
          <w:sz w:val="30"/>
          <w:szCs w:val="30"/>
        </w:rPr>
        <w:t>，全院受理各类案件与去年同期相比增加</w:t>
      </w:r>
      <w:r>
        <w:rPr>
          <w:rFonts w:ascii="仿宋" w:eastAsia="仿宋" w:hAnsi="仿宋" w:hint="eastAsia"/>
          <w:sz w:val="30"/>
          <w:szCs w:val="30"/>
        </w:rPr>
        <w:t>281</w:t>
      </w:r>
      <w:r w:rsidRPr="004F744E">
        <w:rPr>
          <w:rFonts w:ascii="仿宋" w:eastAsia="仿宋" w:hAnsi="仿宋" w:hint="eastAsia"/>
          <w:sz w:val="30"/>
          <w:szCs w:val="30"/>
        </w:rPr>
        <w:t>件，增幅为</w:t>
      </w:r>
      <w:r>
        <w:rPr>
          <w:rFonts w:ascii="仿宋" w:eastAsia="仿宋" w:hAnsi="仿宋" w:hint="eastAsia"/>
          <w:sz w:val="30"/>
          <w:szCs w:val="30"/>
        </w:rPr>
        <w:t>9.5</w:t>
      </w:r>
      <w:r w:rsidRPr="004F744E">
        <w:rPr>
          <w:rFonts w:ascii="仿宋" w:eastAsia="仿宋" w:hAnsi="仿宋" w:hint="eastAsia"/>
          <w:sz w:val="30"/>
          <w:szCs w:val="30"/>
        </w:rPr>
        <w:t>%，法官的办案压力显著增加。从数据上看，</w:t>
      </w:r>
      <w:r>
        <w:rPr>
          <w:rFonts w:ascii="仿宋" w:eastAsia="仿宋" w:hAnsi="仿宋" w:hint="eastAsia"/>
          <w:sz w:val="30"/>
          <w:szCs w:val="30"/>
        </w:rPr>
        <w:t>上半年</w:t>
      </w:r>
      <w:r w:rsidRPr="004F744E">
        <w:rPr>
          <w:rFonts w:ascii="仿宋" w:eastAsia="仿宋" w:hAnsi="仿宋" w:hint="eastAsia"/>
          <w:sz w:val="30"/>
          <w:szCs w:val="30"/>
        </w:rPr>
        <w:t>受理案件情况，符合我院近年来案件数量增加的总趋势。体现了本地社会经济的发展，百姓维权意识增强，法院在维护地方社会经济稳定发展上起到良好的保驾护航作用。</w:t>
      </w:r>
    </w:p>
    <w:p w:rsidR="001B794B" w:rsidRDefault="001B794B" w:rsidP="001B794B">
      <w:pPr>
        <w:ind w:firstLine="645"/>
        <w:rPr>
          <w:rFonts w:ascii="仿宋" w:eastAsia="仿宋" w:hAnsi="仿宋"/>
          <w:sz w:val="30"/>
          <w:szCs w:val="30"/>
        </w:rPr>
      </w:pPr>
      <w:r w:rsidRPr="004F744E">
        <w:rPr>
          <w:rFonts w:ascii="仿宋" w:eastAsia="仿宋" w:hAnsi="仿宋" w:hint="eastAsia"/>
          <w:b/>
          <w:sz w:val="30"/>
          <w:szCs w:val="30"/>
        </w:rPr>
        <w:t>2.结案率同比</w:t>
      </w:r>
      <w:r>
        <w:rPr>
          <w:rFonts w:ascii="仿宋" w:eastAsia="仿宋" w:hAnsi="仿宋" w:hint="eastAsia"/>
          <w:b/>
          <w:sz w:val="30"/>
          <w:szCs w:val="30"/>
        </w:rPr>
        <w:t>上升</w:t>
      </w:r>
      <w:r w:rsidRPr="004F744E">
        <w:rPr>
          <w:rFonts w:ascii="仿宋" w:eastAsia="仿宋" w:hAnsi="仿宋" w:hint="eastAsia"/>
          <w:b/>
          <w:sz w:val="30"/>
          <w:szCs w:val="30"/>
        </w:rPr>
        <w:t>。</w:t>
      </w:r>
      <w:r w:rsidRPr="001B794B">
        <w:rPr>
          <w:rFonts w:ascii="仿宋" w:eastAsia="仿宋" w:hAnsi="仿宋" w:hint="eastAsia"/>
          <w:sz w:val="30"/>
          <w:szCs w:val="30"/>
        </w:rPr>
        <w:t>2016</w:t>
      </w:r>
      <w:r w:rsidRPr="004F744E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上半年</w:t>
      </w:r>
      <w:r w:rsidRPr="004F744E">
        <w:rPr>
          <w:rFonts w:ascii="仿宋" w:eastAsia="仿宋" w:hAnsi="仿宋" w:hint="eastAsia"/>
          <w:sz w:val="30"/>
          <w:szCs w:val="30"/>
        </w:rPr>
        <w:t>，全院结案率为</w:t>
      </w:r>
      <w:r>
        <w:rPr>
          <w:rFonts w:ascii="仿宋" w:eastAsia="仿宋" w:hAnsi="仿宋" w:hint="eastAsia"/>
          <w:sz w:val="30"/>
          <w:szCs w:val="30"/>
        </w:rPr>
        <w:t>62.77</w:t>
      </w:r>
      <w:r w:rsidRPr="004F744E">
        <w:rPr>
          <w:rFonts w:ascii="仿宋" w:eastAsia="仿宋" w:hAnsi="仿宋" w:hint="eastAsia"/>
          <w:sz w:val="30"/>
          <w:szCs w:val="30"/>
        </w:rPr>
        <w:t>%，同比</w:t>
      </w:r>
      <w:r>
        <w:rPr>
          <w:rFonts w:ascii="仿宋" w:eastAsia="仿宋" w:hAnsi="仿宋" w:hint="eastAsia"/>
          <w:sz w:val="30"/>
          <w:szCs w:val="30"/>
        </w:rPr>
        <w:t>上升8.51</w:t>
      </w:r>
      <w:r w:rsidRPr="004F744E">
        <w:rPr>
          <w:rFonts w:ascii="仿宋" w:eastAsia="仿宋" w:hAnsi="仿宋" w:hint="eastAsia"/>
          <w:sz w:val="30"/>
          <w:szCs w:val="30"/>
        </w:rPr>
        <w:t>个百分点。</w:t>
      </w:r>
      <w:r>
        <w:rPr>
          <w:rFonts w:ascii="仿宋" w:eastAsia="仿宋" w:hAnsi="仿宋" w:hint="eastAsia"/>
          <w:sz w:val="30"/>
          <w:szCs w:val="30"/>
        </w:rPr>
        <w:t>其中，民事案件结案率74.78%，同比增加4.49%，执行案件执结率48.46%，同比增加17.87%，从整体上提高了本院上半年的结案率。在受理案件整体数量增加，办案法官数量减少的情况下，体现了2016年上半年全院干警的工作效率有所提升。</w:t>
      </w:r>
    </w:p>
    <w:p w:rsidR="001B794B" w:rsidRPr="004F744E" w:rsidRDefault="001B794B" w:rsidP="001B794B">
      <w:pPr>
        <w:ind w:firstLine="645"/>
        <w:rPr>
          <w:rFonts w:ascii="仿宋" w:eastAsia="仿宋" w:hAnsi="仿宋"/>
          <w:sz w:val="30"/>
          <w:szCs w:val="30"/>
        </w:rPr>
      </w:pPr>
      <w:r w:rsidRPr="004F744E">
        <w:rPr>
          <w:rFonts w:ascii="仿宋" w:eastAsia="仿宋" w:hAnsi="仿宋" w:hint="eastAsia"/>
          <w:b/>
          <w:sz w:val="30"/>
          <w:szCs w:val="30"/>
        </w:rPr>
        <w:t>3.民事一审案件判决率和撤诉率</w:t>
      </w:r>
      <w:r>
        <w:rPr>
          <w:rFonts w:ascii="仿宋" w:eastAsia="仿宋" w:hAnsi="仿宋" w:hint="eastAsia"/>
          <w:b/>
          <w:sz w:val="30"/>
          <w:szCs w:val="30"/>
        </w:rPr>
        <w:t>小幅</w:t>
      </w:r>
      <w:r w:rsidRPr="004F744E">
        <w:rPr>
          <w:rFonts w:ascii="仿宋" w:eastAsia="仿宋" w:hAnsi="仿宋" w:hint="eastAsia"/>
          <w:b/>
          <w:sz w:val="30"/>
          <w:szCs w:val="30"/>
        </w:rPr>
        <w:t>上升，调解率</w:t>
      </w:r>
      <w:r>
        <w:rPr>
          <w:rFonts w:ascii="仿宋" w:eastAsia="仿宋" w:hAnsi="仿宋" w:hint="eastAsia"/>
          <w:b/>
          <w:sz w:val="30"/>
          <w:szCs w:val="30"/>
        </w:rPr>
        <w:t>小幅</w:t>
      </w:r>
      <w:r w:rsidRPr="004F744E">
        <w:rPr>
          <w:rFonts w:ascii="仿宋" w:eastAsia="仿宋" w:hAnsi="仿宋" w:hint="eastAsia"/>
          <w:b/>
          <w:sz w:val="30"/>
          <w:szCs w:val="30"/>
        </w:rPr>
        <w:t>下降。</w:t>
      </w:r>
      <w:r w:rsidRPr="004F744E">
        <w:rPr>
          <w:rFonts w:ascii="仿宋" w:eastAsia="仿宋" w:hAnsi="仿宋" w:hint="eastAsia"/>
          <w:sz w:val="30"/>
          <w:szCs w:val="30"/>
        </w:rPr>
        <w:t>从全院民事一审案件结案方式上看，判决率和</w:t>
      </w:r>
      <w:r>
        <w:rPr>
          <w:rFonts w:ascii="仿宋" w:eastAsia="仿宋" w:hAnsi="仿宋" w:hint="eastAsia"/>
          <w:sz w:val="30"/>
          <w:szCs w:val="30"/>
        </w:rPr>
        <w:t>撤诉</w:t>
      </w:r>
      <w:r w:rsidRPr="004F744E">
        <w:rPr>
          <w:rFonts w:ascii="仿宋" w:eastAsia="仿宋" w:hAnsi="仿宋" w:hint="eastAsia"/>
          <w:sz w:val="30"/>
          <w:szCs w:val="30"/>
        </w:rPr>
        <w:t>率同比</w:t>
      </w:r>
      <w:r>
        <w:rPr>
          <w:rFonts w:ascii="仿宋" w:eastAsia="仿宋" w:hAnsi="仿宋" w:hint="eastAsia"/>
          <w:sz w:val="30"/>
          <w:szCs w:val="30"/>
        </w:rPr>
        <w:t>小幅上升</w:t>
      </w:r>
      <w:r w:rsidRPr="004F744E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分别上升6.79%和2.98%；调解</w:t>
      </w:r>
      <w:r w:rsidRPr="004F744E">
        <w:rPr>
          <w:rFonts w:ascii="仿宋" w:eastAsia="仿宋" w:hAnsi="仿宋" w:hint="eastAsia"/>
          <w:sz w:val="30"/>
          <w:szCs w:val="30"/>
        </w:rPr>
        <w:t>率同比</w:t>
      </w:r>
      <w:r>
        <w:rPr>
          <w:rFonts w:ascii="仿宋" w:eastAsia="仿宋" w:hAnsi="仿宋" w:hint="eastAsia"/>
          <w:sz w:val="30"/>
          <w:szCs w:val="30"/>
        </w:rPr>
        <w:t>下降</w:t>
      </w:r>
      <w:r w:rsidRPr="004F744E">
        <w:rPr>
          <w:rFonts w:ascii="仿宋" w:eastAsia="仿宋" w:hAnsi="仿宋" w:hint="eastAsia"/>
          <w:sz w:val="30"/>
          <w:szCs w:val="30"/>
        </w:rPr>
        <w:t>，由去年的</w:t>
      </w:r>
      <w:r>
        <w:rPr>
          <w:rFonts w:ascii="仿宋" w:eastAsia="仿宋" w:hAnsi="仿宋" w:hint="eastAsia"/>
          <w:sz w:val="30"/>
          <w:szCs w:val="30"/>
        </w:rPr>
        <w:t>33.24</w:t>
      </w:r>
      <w:r w:rsidRPr="004F744E">
        <w:rPr>
          <w:rFonts w:ascii="仿宋" w:eastAsia="仿宋" w:hAnsi="仿宋" w:hint="eastAsia"/>
          <w:sz w:val="30"/>
          <w:szCs w:val="30"/>
        </w:rPr>
        <w:t>%，</w:t>
      </w:r>
      <w:r>
        <w:rPr>
          <w:rFonts w:ascii="仿宋" w:eastAsia="仿宋" w:hAnsi="仿宋" w:hint="eastAsia"/>
          <w:sz w:val="30"/>
          <w:szCs w:val="30"/>
        </w:rPr>
        <w:t>下降</w:t>
      </w:r>
      <w:r w:rsidRPr="004F744E">
        <w:rPr>
          <w:rFonts w:ascii="仿宋" w:eastAsia="仿宋" w:hAnsi="仿宋" w:hint="eastAsia"/>
          <w:sz w:val="30"/>
          <w:szCs w:val="30"/>
        </w:rPr>
        <w:t>为今年的</w:t>
      </w:r>
      <w:r>
        <w:rPr>
          <w:rFonts w:ascii="仿宋" w:eastAsia="仿宋" w:hAnsi="仿宋" w:hint="eastAsia"/>
          <w:sz w:val="30"/>
          <w:szCs w:val="30"/>
        </w:rPr>
        <w:t>29.11</w:t>
      </w:r>
      <w:r w:rsidRPr="004F744E">
        <w:rPr>
          <w:rFonts w:ascii="仿宋" w:eastAsia="仿宋" w:hAnsi="仿宋" w:hint="eastAsia"/>
          <w:sz w:val="30"/>
          <w:szCs w:val="30"/>
        </w:rPr>
        <w:t>%。</w:t>
      </w:r>
    </w:p>
    <w:p w:rsidR="001B794B" w:rsidRPr="002F112C" w:rsidRDefault="001B794B" w:rsidP="001B794B">
      <w:pPr>
        <w:rPr>
          <w:rFonts w:ascii="仿宋_GB2312" w:eastAsia="仿宋_GB2312"/>
        </w:rPr>
      </w:pPr>
    </w:p>
    <w:p w:rsidR="001B794B" w:rsidRDefault="001B794B" w:rsidP="001B794B"/>
    <w:p w:rsidR="00FB156C" w:rsidRPr="001B794B" w:rsidRDefault="00FB156C"/>
    <w:sectPr w:rsidR="00FB156C" w:rsidRPr="001B794B" w:rsidSect="00152D9A"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29" w:rsidRDefault="002F3929" w:rsidP="004B22A6">
      <w:r>
        <w:separator/>
      </w:r>
    </w:p>
  </w:endnote>
  <w:endnote w:type="continuationSeparator" w:id="1">
    <w:p w:rsidR="002F3929" w:rsidRDefault="002F3929" w:rsidP="004B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9" w:rsidRDefault="00F83A63" w:rsidP="00114E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79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4EC9" w:rsidRDefault="002F39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9" w:rsidRDefault="00F83A63" w:rsidP="00114E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79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3E7C">
      <w:rPr>
        <w:rStyle w:val="a4"/>
        <w:noProof/>
      </w:rPr>
      <w:t>1</w:t>
    </w:r>
    <w:r>
      <w:rPr>
        <w:rStyle w:val="a4"/>
      </w:rPr>
      <w:fldChar w:fldCharType="end"/>
    </w:r>
  </w:p>
  <w:p w:rsidR="00114EC9" w:rsidRDefault="002F39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29" w:rsidRDefault="002F3929" w:rsidP="004B22A6">
      <w:r>
        <w:separator/>
      </w:r>
    </w:p>
  </w:footnote>
  <w:footnote w:type="continuationSeparator" w:id="1">
    <w:p w:rsidR="002F3929" w:rsidRDefault="002F3929" w:rsidP="004B2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94B"/>
    <w:rsid w:val="00006C9A"/>
    <w:rsid w:val="001B794B"/>
    <w:rsid w:val="001E7954"/>
    <w:rsid w:val="002F3929"/>
    <w:rsid w:val="003F337A"/>
    <w:rsid w:val="004B22A6"/>
    <w:rsid w:val="0068069A"/>
    <w:rsid w:val="009107A5"/>
    <w:rsid w:val="00A23E7C"/>
    <w:rsid w:val="00B00192"/>
    <w:rsid w:val="00DE7478"/>
    <w:rsid w:val="00ED23AF"/>
    <w:rsid w:val="00F83A63"/>
    <w:rsid w:val="00FB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4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06C9A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C9A"/>
    <w:rPr>
      <w:rFonts w:ascii="宋体" w:eastAsia="宋体" w:hAnsi="宋体" w:cs="宋体"/>
      <w:b/>
      <w:kern w:val="44"/>
      <w:sz w:val="48"/>
      <w:szCs w:val="48"/>
    </w:rPr>
  </w:style>
  <w:style w:type="paragraph" w:styleId="a3">
    <w:name w:val="footer"/>
    <w:basedOn w:val="a"/>
    <w:link w:val="Char"/>
    <w:rsid w:val="001B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794B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B794B"/>
  </w:style>
  <w:style w:type="paragraph" w:styleId="a5">
    <w:name w:val="Balloon Text"/>
    <w:basedOn w:val="a"/>
    <w:link w:val="Char0"/>
    <w:uiPriority w:val="99"/>
    <w:semiHidden/>
    <w:unhideWhenUsed/>
    <w:rsid w:val="001B794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B794B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DE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E74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4577;&#21183;&#20998;&#26512;&#25253;&#21578;\&#24577;&#21183;&#20998;&#26512;&#25253;&#21578;\&#27861;&#38498;&#21160;&#24577;&#20998;&#26512;&#25253;&#21578;\&#26032;&#25910;&#26087;&#2338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4577;&#21183;&#20998;&#26512;&#25253;&#21578;\&#24577;&#21183;&#20998;&#26512;&#25253;&#21578;\&#27861;&#38498;&#21160;&#24577;&#20998;&#26512;&#25253;&#21578;\&#27665;&#2010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4577;&#21183;&#20998;&#26512;&#25253;&#21578;\&#24577;&#21183;&#20998;&#26512;&#25253;&#21578;\&#27861;&#38498;&#21160;&#24577;&#20998;&#26512;&#25253;&#21578;\&#34892;&#2591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4577;&#21183;&#20998;&#26512;&#25253;&#21578;\&#24577;&#21183;&#20998;&#26512;&#25253;&#21578;\&#27861;&#38498;&#21160;&#24577;&#20998;&#26512;&#25253;&#21578;\&#25191;&#3489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4577;&#21183;&#20998;&#26512;&#25253;&#21578;\&#24577;&#21183;&#20998;&#26512;&#25253;&#21578;\&#27861;&#38498;&#21160;&#24577;&#20998;&#26512;&#25253;&#21578;\&#23457;&#26597;&#30417;&#305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4577;&#21183;&#20998;&#26512;&#25253;&#21578;\&#24577;&#21183;&#20998;&#26512;&#25253;&#21578;\&#27861;&#38498;&#21160;&#24577;&#20998;&#26512;&#25253;&#21578;\&#21463;&#29702;&#21508;&#31867;&#26696;&#20214;&#27604;&#20363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sz="1200"/>
              <a:t>图</a:t>
            </a:r>
            <a:r>
              <a:rPr lang="en-US" sz="1200"/>
              <a:t>1.</a:t>
            </a:r>
            <a:r>
              <a:rPr lang="zh-CN" sz="1200"/>
              <a:t>抚松法院收结案统计表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601</c:v>
                </c:pt>
                <c:pt idx="1">
                  <c:v>2368</c:v>
                </c:pt>
                <c:pt idx="2">
                  <c:v>1358</c:v>
                </c:pt>
                <c:pt idx="3">
                  <c:v>1611</c:v>
                </c:pt>
                <c:pt idx="4">
                  <c:v>2969</c:v>
                </c:pt>
                <c:pt idx="5" formatCode="0.00_ ">
                  <c:v>54.260000000000012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947</c:v>
                </c:pt>
                <c:pt idx="1">
                  <c:v>2303</c:v>
                </c:pt>
                <c:pt idx="2">
                  <c:v>1210</c:v>
                </c:pt>
                <c:pt idx="3">
                  <c:v>2040</c:v>
                </c:pt>
                <c:pt idx="4">
                  <c:v>3250</c:v>
                </c:pt>
                <c:pt idx="5" formatCode="0.00_ ">
                  <c:v>62.77</c:v>
                </c:pt>
              </c:numCache>
            </c:numRef>
          </c:val>
        </c:ser>
        <c:shape val="cylinder"/>
        <c:axId val="108905600"/>
        <c:axId val="108907136"/>
        <c:axId val="0"/>
      </c:bar3DChart>
      <c:catAx>
        <c:axId val="108905600"/>
        <c:scaling>
          <c:orientation val="minMax"/>
        </c:scaling>
        <c:axPos val="b"/>
        <c:majorTickMark val="none"/>
        <c:tickLblPos val="nextTo"/>
        <c:crossAx val="108907136"/>
        <c:crosses val="autoZero"/>
        <c:auto val="1"/>
        <c:lblAlgn val="ctr"/>
        <c:lblOffset val="100"/>
      </c:catAx>
      <c:valAx>
        <c:axId val="108907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8905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endParaRPr lang="zh-CN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</c:v>
                </c:pt>
                <c:pt idx="1">
                  <c:v>90</c:v>
                </c:pt>
                <c:pt idx="2">
                  <c:v>22</c:v>
                </c:pt>
                <c:pt idx="3">
                  <c:v>78</c:v>
                </c:pt>
                <c:pt idx="4">
                  <c:v>100</c:v>
                </c:pt>
                <c:pt idx="5" formatCode="0.00_ 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65</c:v>
                </c:pt>
                <c:pt idx="1">
                  <c:v>101</c:v>
                </c:pt>
                <c:pt idx="2">
                  <c:v>43</c:v>
                </c:pt>
                <c:pt idx="3">
                  <c:v>123</c:v>
                </c:pt>
                <c:pt idx="4">
                  <c:v>166</c:v>
                </c:pt>
                <c:pt idx="5" formatCode="0.00_ ">
                  <c:v>74.099999999999994</c:v>
                </c:pt>
              </c:numCache>
            </c:numRef>
          </c:val>
        </c:ser>
        <c:shape val="cylinder"/>
        <c:axId val="116148864"/>
        <c:axId val="116880896"/>
        <c:axId val="0"/>
      </c:bar3DChart>
      <c:catAx>
        <c:axId val="116148864"/>
        <c:scaling>
          <c:orientation val="minMax"/>
        </c:scaling>
        <c:axPos val="b"/>
        <c:majorTickMark val="none"/>
        <c:tickLblPos val="nextTo"/>
        <c:crossAx val="116880896"/>
        <c:crosses val="autoZero"/>
        <c:auto val="1"/>
        <c:lblAlgn val="ctr"/>
        <c:lblOffset val="100"/>
      </c:catAx>
      <c:valAx>
        <c:axId val="116880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6148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sz="1200"/>
              <a:t>图</a:t>
            </a:r>
            <a:r>
              <a:rPr lang="en-US" sz="1200"/>
              <a:t>3.</a:t>
            </a:r>
            <a:r>
              <a:rPr lang="zh-CN" sz="1200"/>
              <a:t>民事案件收结案统计表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2928729242929696"/>
          <c:y val="0.13389261923306517"/>
          <c:w val="0.87071270757070363"/>
          <c:h val="0.601706910489651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102</c:v>
                </c:pt>
                <c:pt idx="1">
                  <c:v>1490</c:v>
                </c:pt>
                <c:pt idx="2">
                  <c:v>473</c:v>
                </c:pt>
                <c:pt idx="3">
                  <c:v>1119</c:v>
                </c:pt>
                <c:pt idx="4">
                  <c:v>1592</c:v>
                </c:pt>
                <c:pt idx="5" formatCode="0.00_ ">
                  <c:v>70.290000000000006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262</c:v>
                </c:pt>
                <c:pt idx="1">
                  <c:v>1300</c:v>
                </c:pt>
                <c:pt idx="2">
                  <c:v>394</c:v>
                </c:pt>
                <c:pt idx="3">
                  <c:v>1168</c:v>
                </c:pt>
                <c:pt idx="4">
                  <c:v>1562</c:v>
                </c:pt>
                <c:pt idx="5" formatCode="0.00_ ">
                  <c:v>74.78</c:v>
                </c:pt>
              </c:numCache>
            </c:numRef>
          </c:val>
        </c:ser>
        <c:shape val="cylinder"/>
        <c:axId val="153123840"/>
        <c:axId val="153154304"/>
        <c:axId val="0"/>
      </c:bar3DChart>
      <c:catAx>
        <c:axId val="153123840"/>
        <c:scaling>
          <c:orientation val="minMax"/>
        </c:scaling>
        <c:axPos val="b"/>
        <c:majorTickMark val="none"/>
        <c:tickLblPos val="nextTo"/>
        <c:crossAx val="153154304"/>
        <c:crosses val="autoZero"/>
        <c:auto val="1"/>
        <c:lblAlgn val="ctr"/>
        <c:lblOffset val="100"/>
      </c:catAx>
      <c:valAx>
        <c:axId val="153154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3123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sz="1200"/>
              <a:t>图</a:t>
            </a:r>
            <a:r>
              <a:rPr lang="en-US" sz="1200"/>
              <a:t>4.</a:t>
            </a:r>
            <a:r>
              <a:rPr lang="zh-CN" sz="1200"/>
              <a:t>行政案件收结案统计表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33</c:v>
                </c:pt>
                <c:pt idx="2">
                  <c:v>7</c:v>
                </c:pt>
                <c:pt idx="3">
                  <c:v>27</c:v>
                </c:pt>
                <c:pt idx="4">
                  <c:v>34</c:v>
                </c:pt>
                <c:pt idx="5" formatCode="0.00_ ">
                  <c:v>79.410000000000025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49</c:v>
                </c:pt>
                <c:pt idx="2">
                  <c:v>18</c:v>
                </c:pt>
                <c:pt idx="3">
                  <c:v>34</c:v>
                </c:pt>
                <c:pt idx="4">
                  <c:v>52</c:v>
                </c:pt>
                <c:pt idx="5" formatCode="0.00_ ">
                  <c:v>65.38</c:v>
                </c:pt>
              </c:numCache>
            </c:numRef>
          </c:val>
        </c:ser>
        <c:shape val="cylinder"/>
        <c:axId val="99621504"/>
        <c:axId val="99643776"/>
        <c:axId val="0"/>
      </c:bar3DChart>
      <c:catAx>
        <c:axId val="99621504"/>
        <c:scaling>
          <c:orientation val="minMax"/>
        </c:scaling>
        <c:axPos val="b"/>
        <c:majorTickMark val="none"/>
        <c:tickLblPos val="nextTo"/>
        <c:crossAx val="99643776"/>
        <c:crosses val="autoZero"/>
        <c:auto val="1"/>
        <c:lblAlgn val="ctr"/>
        <c:lblOffset val="100"/>
      </c:catAx>
      <c:valAx>
        <c:axId val="99643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9621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sz="1200"/>
              <a:t>图</a:t>
            </a:r>
            <a:r>
              <a:rPr lang="en-US" sz="1200"/>
              <a:t>5.</a:t>
            </a:r>
            <a:r>
              <a:rPr lang="zh-CN" sz="1200"/>
              <a:t>执行案件收结案统计表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487</c:v>
                </c:pt>
                <c:pt idx="1">
                  <c:v>742</c:v>
                </c:pt>
                <c:pt idx="2">
                  <c:v>853</c:v>
                </c:pt>
                <c:pt idx="3">
                  <c:v>376</c:v>
                </c:pt>
                <c:pt idx="4">
                  <c:v>1229</c:v>
                </c:pt>
                <c:pt idx="5" formatCode="0.00_ ">
                  <c:v>30.59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614</c:v>
                </c:pt>
                <c:pt idx="1">
                  <c:v>845</c:v>
                </c:pt>
                <c:pt idx="2">
                  <c:v>752</c:v>
                </c:pt>
                <c:pt idx="3">
                  <c:v>707</c:v>
                </c:pt>
                <c:pt idx="4">
                  <c:v>1459</c:v>
                </c:pt>
                <c:pt idx="5" formatCode="0.00_ ">
                  <c:v>48.46</c:v>
                </c:pt>
              </c:numCache>
            </c:numRef>
          </c:val>
        </c:ser>
        <c:shape val="cylinder"/>
        <c:axId val="99657984"/>
        <c:axId val="99659776"/>
        <c:axId val="0"/>
      </c:bar3DChart>
      <c:catAx>
        <c:axId val="99657984"/>
        <c:scaling>
          <c:orientation val="minMax"/>
        </c:scaling>
        <c:axPos val="b"/>
        <c:majorTickMark val="none"/>
        <c:tickLblPos val="nextTo"/>
        <c:crossAx val="99659776"/>
        <c:crosses val="autoZero"/>
        <c:auto val="1"/>
        <c:lblAlgn val="ctr"/>
        <c:lblOffset val="100"/>
      </c:catAx>
      <c:valAx>
        <c:axId val="99659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96579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sz="1200"/>
              <a:t>图</a:t>
            </a:r>
            <a:r>
              <a:rPr lang="en-US" sz="1200"/>
              <a:t>6.</a:t>
            </a:r>
            <a:r>
              <a:rPr lang="zh-CN" sz="1200"/>
              <a:t>审查监督案件收结案统计表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12</c:v>
                </c:pt>
                <c:pt idx="2">
                  <c:v>3</c:v>
                </c:pt>
                <c:pt idx="3">
                  <c:v>10</c:v>
                </c:pt>
                <c:pt idx="4">
                  <c:v>13</c:v>
                </c:pt>
                <c:pt idx="5" formatCode="0.00_ ">
                  <c:v>76.92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3</c:v>
                </c:pt>
                <c:pt idx="3">
                  <c:v>8</c:v>
                </c:pt>
                <c:pt idx="4">
                  <c:v>11</c:v>
                </c:pt>
                <c:pt idx="5" formatCode="0.00_ ">
                  <c:v>72.73</c:v>
                </c:pt>
              </c:numCache>
            </c:numRef>
          </c:val>
        </c:ser>
        <c:shape val="cylinder"/>
        <c:axId val="117446528"/>
        <c:axId val="117448064"/>
        <c:axId val="0"/>
      </c:bar3DChart>
      <c:catAx>
        <c:axId val="117446528"/>
        <c:scaling>
          <c:orientation val="minMax"/>
        </c:scaling>
        <c:axPos val="b"/>
        <c:majorTickMark val="none"/>
        <c:tickLblPos val="nextTo"/>
        <c:crossAx val="117448064"/>
        <c:crosses val="autoZero"/>
        <c:auto val="1"/>
        <c:lblAlgn val="ctr"/>
        <c:lblOffset val="100"/>
      </c:catAx>
      <c:valAx>
        <c:axId val="117448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7446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sz="1200"/>
              <a:t>图</a:t>
            </a:r>
            <a:r>
              <a:rPr lang="en-US" sz="1200"/>
              <a:t>7.</a:t>
            </a:r>
            <a:r>
              <a:rPr lang="zh-CN" sz="1200"/>
              <a:t>受理各类案件比例图</a:t>
            </a:r>
          </a:p>
        </c:rich>
      </c:tx>
      <c:layout>
        <c:manualLayout>
          <c:xMode val="edge"/>
          <c:yMode val="edge"/>
          <c:x val="0.28297322929606111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6564111594676867E-2"/>
                  <c:y val="-2.932787813288043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刑事</a:t>
                    </a:r>
                    <a:r>
                      <a:rPr lang="en-US" altLang="zh-CN"/>
                      <a:t>5.11%</a:t>
                    </a:r>
                    <a:endParaRPr lang="zh-CN" altLang="en-US"/>
                  </a:p>
                </c:rich>
              </c:tx>
              <c:showCatName val="1"/>
            </c:dLbl>
            <c:dLbl>
              <c:idx val="1"/>
              <c:layout>
                <c:manualLayout>
                  <c:x val="-0.13205537806176784"/>
                  <c:y val="0.30100072049817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民事</a:t>
                    </a:r>
                    <a:r>
                      <a:rPr lang="en-US" altLang="zh-CN"/>
                      <a:t>48.06%</a:t>
                    </a:r>
                    <a:endParaRPr lang="zh-CN" altLang="en-US"/>
                  </a:p>
                </c:rich>
              </c:tx>
              <c:showCatName val="1"/>
            </c:dLbl>
            <c:dLbl>
              <c:idx val="2"/>
              <c:layout>
                <c:manualLayout>
                  <c:x val="-0.13650759310038321"/>
                  <c:y val="-6.8171993206731524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行政</a:t>
                    </a:r>
                    <a:r>
                      <a:rPr lang="en-US" altLang="zh-CN"/>
                      <a:t>1.60%</a:t>
                    </a:r>
                    <a:endParaRPr lang="zh-CN" altLang="en-US"/>
                  </a:p>
                </c:rich>
              </c:tx>
              <c:showCatName val="1"/>
            </c:dLbl>
            <c:dLbl>
              <c:idx val="3"/>
              <c:layout>
                <c:manualLayout>
                  <c:x val="7.6677316293929709E-2"/>
                  <c:y val="-0.234150584118161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执行</a:t>
                    </a:r>
                    <a:r>
                      <a:rPr lang="en-US" altLang="zh-CN"/>
                      <a:t>44.89%</a:t>
                    </a:r>
                    <a:endParaRPr lang="zh-CN" altLang="en-US"/>
                  </a:p>
                </c:rich>
              </c:tx>
              <c:showCatName val="1"/>
            </c:dLbl>
            <c:dLbl>
              <c:idx val="4"/>
              <c:layout>
                <c:manualLayout>
                  <c:x val="-0.1621414136332"/>
                  <c:y val="-3.742602027687719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审查监督</a:t>
                    </a:r>
                    <a:r>
                      <a:rPr lang="en-US" altLang="zh-CN"/>
                      <a:t>0.34%</a:t>
                    </a:r>
                    <a:endParaRPr lang="zh-CN" altLang="en-US"/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Sheet1!$A$1:$E$1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  <c:pt idx="4">
                  <c:v>审查监督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5.1099999999999985</c:v>
                </c:pt>
                <c:pt idx="1">
                  <c:v>48.06</c:v>
                </c:pt>
                <c:pt idx="2" formatCode="0.00_ ">
                  <c:v>1.6</c:v>
                </c:pt>
                <c:pt idx="3">
                  <c:v>44.89</c:v>
                </c:pt>
                <c:pt idx="4">
                  <c:v>0.34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0.29787</cdr:x>
      <cdr:y>0.03253</cdr:y>
    </cdr:from>
    <cdr:to>
      <cdr:x>0.72264</cdr:x>
      <cdr:y>0.11592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571906" y="117081"/>
          <a:ext cx="2241573" cy="30010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252</Words>
  <Characters>1442</Characters>
  <Application>Microsoft Office Word</Application>
  <DocSecurity>0</DocSecurity>
  <Lines>12</Lines>
  <Paragraphs>3</Paragraphs>
  <ScaleCrop>false</ScaleCrop>
  <Company>Www.SangSan.Cn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5</cp:revision>
  <dcterms:created xsi:type="dcterms:W3CDTF">2016-07-08T06:02:00Z</dcterms:created>
  <dcterms:modified xsi:type="dcterms:W3CDTF">2016-08-08T02:01:00Z</dcterms:modified>
</cp:coreProperties>
</file>